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6542C" w:rsidRPr="00F66A61" w:rsidP="00E6542C">
      <w:pPr>
        <w:jc w:val="center"/>
        <w:rPr>
          <w:rFonts w:ascii="Arial" w:hAnsi="Arial" w:cs="Arial"/>
          <w:sz w:val="20"/>
          <w:szCs w:val="20"/>
        </w:rPr>
      </w:pPr>
      <w:r w:rsidRPr="00F66A61">
        <w:rPr>
          <w:rFonts w:ascii="Arial" w:hAnsi="Arial" w:cs="Arial"/>
          <w:noProof/>
          <w:sz w:val="20"/>
          <w:szCs w:val="20"/>
        </w:rPr>
        <w:drawing>
          <wp:inline distT="0" distB="0" distL="0" distR="0">
            <wp:extent cx="3146425" cy="650064"/>
            <wp:effectExtent l="0" t="0" r="3175" b="0"/>
            <wp:docPr id="4673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7397" name="Picture 46737397"/>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211881" cy="663588"/>
                    </a:xfrm>
                    <a:prstGeom prst="rect">
                      <a:avLst/>
                    </a:prstGeom>
                  </pic:spPr>
                </pic:pic>
              </a:graphicData>
            </a:graphic>
          </wp:inline>
        </w:drawing>
      </w:r>
    </w:p>
    <w:p w:rsidR="00672971" w:rsidRPr="00F66A61" w:rsidP="00170FEB">
      <w:pPr>
        <w:pStyle w:val="Heading2"/>
        <w:spacing w:before="140"/>
        <w:ind w:left="0"/>
        <w:rPr>
          <w:b w:val="0"/>
          <w:bCs w:val="0"/>
          <w:sz w:val="20"/>
          <w:szCs w:val="20"/>
        </w:rPr>
      </w:pPr>
      <w:r w:rsidRPr="00F66A61">
        <w:rPr>
          <w:b w:val="0"/>
          <w:bCs w:val="0"/>
          <w:sz w:val="20"/>
          <w:szCs w:val="20"/>
        </w:rPr>
        <w:fldChar w:fldCharType="begin"/>
      </w:r>
      <w:r w:rsidRPr="00F66A61">
        <w:rPr>
          <w:b w:val="0"/>
          <w:bCs w:val="0"/>
          <w:sz w:val="20"/>
          <w:szCs w:val="20"/>
        </w:rPr>
        <w:instrText xml:space="preserve"> IF </w:instrText>
      </w:r>
      <w:r w:rsidRPr="00F66A61">
        <w:rPr>
          <w:b w:val="0"/>
          <w:bCs w:val="0"/>
          <w:sz w:val="20"/>
          <w:szCs w:val="20"/>
        </w:rPr>
        <w:instrText>"</w:instrText>
      </w:r>
      <w:r w:rsidRPr="00F66A61">
        <w:rPr>
          <w:b w:val="0"/>
          <w:bCs w:val="0"/>
          <w:sz w:val="20"/>
          <w:szCs w:val="20"/>
        </w:rPr>
        <w:instrText>"</w:instrText>
      </w:r>
      <w:r w:rsidRPr="00F66A61">
        <w:rPr>
          <w:b w:val="0"/>
          <w:bCs w:val="0"/>
          <w:sz w:val="20"/>
          <w:szCs w:val="20"/>
        </w:rPr>
        <w:instrText xml:space="preserve"> &lt;&gt; "" "</w:instrText>
      </w:r>
      <w:r w:rsidRPr="00F66A61" w:rsidR="005113DE">
        <w:rPr>
          <w:b w:val="0"/>
          <w:bCs w:val="0"/>
          <w:color w:val="4472C4" w:themeColor="accent1"/>
          <w:sz w:val="20"/>
          <w:szCs w:val="20"/>
        </w:rPr>
        <w:instrText>Name of Series:</w:instrText>
      </w:r>
      <w:r w:rsidRPr="00F66A61" w:rsidR="005113DE">
        <w:rPr>
          <w:b w:val="0"/>
          <w:bCs w:val="0"/>
          <w:sz w:val="20"/>
          <w:szCs w:val="20"/>
        </w:rPr>
        <w:instrText xml:space="preserve"> </w:instrText>
      </w:r>
      <w:r w:rsidRPr="00F66A61">
        <w:rPr>
          <w:b w:val="0"/>
          <w:bCs w:val="0"/>
          <w:sz w:val="20"/>
          <w:szCs w:val="20"/>
        </w:rPr>
        <w:fldChar w:fldCharType="begin"/>
      </w:r>
      <w:r w:rsidRPr="00F66A61">
        <w:rPr>
          <w:b w:val="0"/>
          <w:bCs w:val="0"/>
          <w:sz w:val="20"/>
          <w:szCs w:val="20"/>
        </w:rPr>
        <w:instrText xml:space="preserve"> MERGEFIELD ParentName </w:instrText>
      </w:r>
      <w:r w:rsidRPr="00F66A61">
        <w:rPr>
          <w:b w:val="0"/>
          <w:bCs w:val="0"/>
          <w:sz w:val="20"/>
          <w:szCs w:val="20"/>
        </w:rPr>
        <w:fldChar w:fldCharType="separate"/>
      </w:r>
      <w:r w:rsidR="00BB465A">
        <w:rPr>
          <w:b w:val="0"/>
          <w:bCs w:val="0"/>
          <w:noProof/>
          <w:sz w:val="20"/>
          <w:szCs w:val="20"/>
        </w:rPr>
        <w:instrText>«ParentName»</w:instrText>
      </w:r>
      <w:r w:rsidRPr="00F66A61">
        <w:rPr>
          <w:b w:val="0"/>
          <w:bCs w:val="0"/>
          <w:sz w:val="20"/>
          <w:szCs w:val="20"/>
        </w:rPr>
        <w:fldChar w:fldCharType="end"/>
      </w:r>
      <w:r w:rsidRPr="00F66A61">
        <w:rPr>
          <w:b w:val="0"/>
          <w:bCs w:val="0"/>
          <w:sz w:val="20"/>
          <w:szCs w:val="20"/>
        </w:rPr>
        <w:instrText xml:space="preserve">" "" </w:instrText>
      </w:r>
      <w:r w:rsidRPr="00F66A61">
        <w:rPr>
          <w:b w:val="0"/>
          <w:bCs w:val="0"/>
          <w:sz w:val="20"/>
          <w:szCs w:val="20"/>
        </w:rPr>
        <w:fldChar w:fldCharType="separate"/>
      </w:r>
      <w:r w:rsidRPr="00F66A61">
        <w:rPr>
          <w:b w:val="0"/>
          <w:bCs w:val="0"/>
          <w:sz w:val="20"/>
          <w:szCs w:val="20"/>
        </w:rPr>
        <w:fldChar w:fldCharType="end"/>
      </w:r>
    </w:p>
    <w:p w:rsidR="005113DE" w:rsidP="00170FEB">
      <w:pPr>
        <w:pStyle w:val="Heading2"/>
        <w:spacing w:before="140"/>
        <w:ind w:left="0"/>
        <w:rPr>
          <w:b w:val="0"/>
          <w:bCs w:val="0"/>
          <w:sz w:val="20"/>
          <w:szCs w:val="20"/>
        </w:rPr>
      </w:pPr>
      <w:r w:rsidRPr="00F66A61">
        <w:rPr>
          <w:b w:val="0"/>
          <w:bCs w:val="0"/>
          <w:color w:val="4472C4" w:themeColor="accent1"/>
          <w:sz w:val="20"/>
          <w:szCs w:val="20"/>
        </w:rPr>
        <w:t xml:space="preserve">Presentation Title: </w:t>
      </w:r>
      <w:r w:rsidRPr="00F66A61" w:rsidR="008B24AD">
        <w:rPr>
          <w:b w:val="0"/>
          <w:bCs w:val="0"/>
          <w:sz w:val="20"/>
          <w:szCs w:val="20"/>
        </w:rPr>
        <w:t>JTCC Immune Cell Therapy Innovations, Interventions and Impact</w:t>
      </w:r>
    </w:p>
    <w:p w:rsidR="00BB465A" w:rsidRPr="00F66A61" w:rsidP="00170FEB">
      <w:pPr>
        <w:pStyle w:val="Heading2"/>
        <w:spacing w:before="140"/>
        <w:ind w:left="0"/>
        <w:rPr>
          <w:b w:val="0"/>
          <w:bCs w:val="0"/>
          <w:sz w:val="20"/>
          <w:szCs w:val="20"/>
        </w:rPr>
      </w:pPr>
      <w:r>
        <w:rPr>
          <w:b w:val="0"/>
          <w:bCs w:val="0"/>
          <w:color w:val="4472C4" w:themeColor="accent1"/>
          <w:sz w:val="20"/>
          <w:szCs w:val="20"/>
        </w:rPr>
        <w:t>Presenter</w:t>
      </w:r>
      <w:r w:rsidRPr="00F66A61">
        <w:rPr>
          <w:b w:val="0"/>
          <w:bCs w:val="0"/>
          <w:color w:val="4472C4" w:themeColor="accent1"/>
          <w:sz w:val="20"/>
          <w:szCs w:val="20"/>
        </w:rPr>
        <w:t>:</w:t>
      </w:r>
      <w:r>
        <w:rPr>
          <w:b w:val="0"/>
          <w:bCs w:val="0"/>
          <w:color w:val="4472C4" w:themeColor="accent1"/>
          <w:sz w:val="20"/>
          <w:szCs w:val="20"/>
        </w:rPr>
        <w:t xml:space="preserve"> </w:t>
      </w:r>
    </w:p>
    <w:tbl>
      <w:tblPr>
        <w:tblW w:w="5000" w:type="pct"/>
        <w:jc w:val="left"/>
        <w:tblCellSpacing w:w="15" w:type="dxa"/>
        <w:tblInd w:w="0" w:type="dxa"/>
        <w:tblCellMar>
          <w:top w:w="15" w:type="dxa"/>
          <w:left w:w="15" w:type="dxa"/>
          <w:bottom w:w="15" w:type="dxa"/>
          <w:right w:w="15" w:type="dxa"/>
        </w:tblCellMar>
      </w:tblPr>
      <w:tblGrid>
        <w:gridCol w:w="9510"/>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Andres Chang, MD, PhD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Assistant 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Winship Cancer Institute of Emory University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May Daher,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The University Of Texas MD Anderson Cancer Center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Andres Gomez-De Leon,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Associate Professor of Hematology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Universidad Autonoma de Nuevo Leon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Andre H. Goy,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Vice President Physician in Chief Oncology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HUMC</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Dimitrios Mougiakakos,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Otto von Guericke University Magdeburg</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Michael Pulsipher,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Division Chief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University of Utah</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Siddhartha Reddy,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JTCC</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Urvi A Shah, MD, DipABLM</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Assistant Attending</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Memorial Sloan Kettering Cancer Center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James Welsh,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The University of Texas MD Anderson Cancer Center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pPr>
        <w:rPr>
          <w:rtl w:val="0"/>
        </w:rPr>
      </w:pPr>
    </w:p>
    <w:p w:rsidR="005113DE" w:rsidRPr="00F66A61" w:rsidP="00170FEB">
      <w:pPr>
        <w:pStyle w:val="Heading2"/>
        <w:spacing w:before="140"/>
        <w:ind w:left="0"/>
        <w:rPr>
          <w:b w:val="0"/>
          <w:bCs w:val="0"/>
          <w:sz w:val="20"/>
          <w:szCs w:val="20"/>
        </w:rPr>
      </w:pPr>
      <w:r w:rsidRPr="00F66A61">
        <w:rPr>
          <w:b w:val="0"/>
          <w:bCs w:val="0"/>
          <w:color w:val="4472C4" w:themeColor="accent1"/>
          <w:sz w:val="20"/>
          <w:szCs w:val="20"/>
        </w:rPr>
        <w:t xml:space="preserve">Date: </w:t>
      </w:r>
      <w:r w:rsidRPr="00F66A61">
        <w:rPr>
          <w:b w:val="0"/>
          <w:bCs w:val="0"/>
          <w:sz w:val="20"/>
          <w:szCs w:val="20"/>
        </w:rPr>
        <w:t>October 09, 2026</w:t>
      </w:r>
      <w:r w:rsidRPr="00F66A61">
        <w:rPr>
          <w:b w:val="0"/>
          <w:bCs w:val="0"/>
          <w:sz w:val="20"/>
          <w:szCs w:val="20"/>
        </w:rPr>
        <w:t xml:space="preserve">     </w:t>
      </w:r>
    </w:p>
    <w:p w:rsidR="00C148BA" w:rsidRPr="00F66A61" w:rsidP="00170FEB">
      <w:pPr>
        <w:pStyle w:val="Heading2"/>
        <w:spacing w:before="140"/>
        <w:ind w:left="0"/>
        <w:rPr>
          <w:b w:val="0"/>
          <w:bCs w:val="0"/>
          <w:sz w:val="20"/>
          <w:szCs w:val="20"/>
        </w:rPr>
      </w:pPr>
      <w:r w:rsidRPr="00F66A61">
        <w:rPr>
          <w:b w:val="0"/>
          <w:bCs w:val="0"/>
          <w:color w:val="4472C4" w:themeColor="accent1"/>
          <w:sz w:val="20"/>
          <w:szCs w:val="20"/>
        </w:rPr>
        <w:t xml:space="preserve">Time: </w:t>
      </w:r>
      <w:r w:rsidRPr="00F66A61">
        <w:rPr>
          <w:b w:val="0"/>
          <w:bCs w:val="0"/>
          <w:sz w:val="20"/>
          <w:szCs w:val="20"/>
        </w:rPr>
        <w:t xml:space="preserve">8:00 AM - </w:t>
      </w:r>
      <w:r w:rsidRPr="00F66A61" w:rsidR="00832A8D">
        <w:rPr>
          <w:b w:val="0"/>
          <w:bCs w:val="0"/>
          <w:sz w:val="20"/>
          <w:szCs w:val="20"/>
        </w:rPr>
        <w:t>3:30 PM</w:t>
      </w:r>
      <w:r w:rsidRPr="00F66A61">
        <w:rPr>
          <w:b w:val="0"/>
          <w:bCs w:val="0"/>
          <w:sz w:val="20"/>
          <w:szCs w:val="20"/>
        </w:rPr>
        <w:fldChar w:fldCharType="begin"/>
      </w:r>
      <w:r w:rsidRPr="00F66A61">
        <w:rPr>
          <w:b w:val="0"/>
          <w:bCs w:val="0"/>
          <w:sz w:val="20"/>
          <w:szCs w:val="20"/>
        </w:rPr>
        <w:instrText xml:space="preserve"> IF </w:instrText>
      </w:r>
      <w:r w:rsidRPr="00F66A61">
        <w:rPr>
          <w:b w:val="0"/>
          <w:bCs w:val="0"/>
          <w:sz w:val="20"/>
          <w:szCs w:val="20"/>
        </w:rPr>
        <w:instrText>"</w:instrText>
      </w:r>
      <w:r w:rsidRPr="00F66A61">
        <w:rPr>
          <w:b w:val="0"/>
          <w:bCs w:val="0"/>
          <w:sz w:val="20"/>
          <w:szCs w:val="20"/>
        </w:rPr>
        <w:instrText>John Theurer Cancer Center, 92 2nd St, Hackensack, NJ 07601</w:instrText>
      </w:r>
      <w:r w:rsidRPr="00F66A61">
        <w:rPr>
          <w:b w:val="0"/>
          <w:bCs w:val="0"/>
          <w:sz w:val="20"/>
          <w:szCs w:val="20"/>
        </w:rPr>
        <w:instrText>"</w:instrText>
      </w:r>
      <w:r w:rsidRPr="00F66A61">
        <w:rPr>
          <w:b w:val="0"/>
          <w:bCs w:val="0"/>
          <w:sz w:val="20"/>
          <w:szCs w:val="20"/>
        </w:rPr>
        <w:instrText xml:space="preserve"> &lt;&gt; "" "</w:instrText>
      </w:r>
    </w:p>
    <w:p w:rsidR="00BB465A" w:rsidRPr="00F66A61" w:rsidP="00170FEB">
      <w:pPr>
        <w:pStyle w:val="Heading2"/>
        <w:spacing w:before="140"/>
        <w:ind w:left="0"/>
        <w:rPr>
          <w:b w:val="0"/>
          <w:bCs w:val="0"/>
          <w:noProof/>
          <w:sz w:val="20"/>
          <w:szCs w:val="20"/>
        </w:rPr>
      </w:pPr>
      <w:r w:rsidRPr="00F66A61">
        <w:rPr>
          <w:b w:val="0"/>
          <w:bCs w:val="0"/>
          <w:color w:val="4472C4" w:themeColor="accent1"/>
          <w:sz w:val="20"/>
          <w:szCs w:val="20"/>
        </w:rPr>
        <w:instrText xml:space="preserve">Location: </w:instrText>
      </w:r>
      <w:r w:rsidRPr="00F66A61">
        <w:rPr>
          <w:b w:val="0"/>
          <w:bCs w:val="0"/>
          <w:sz w:val="20"/>
          <w:szCs w:val="20"/>
        </w:rPr>
        <w:instrText>John Theurer Cancer Center, 92 2nd St, Hackensack, NJ 07601</w:instrText>
      </w:r>
      <w:r w:rsidRPr="00F66A61">
        <w:rPr>
          <w:b w:val="0"/>
          <w:bCs w:val="0"/>
          <w:sz w:val="20"/>
          <w:szCs w:val="20"/>
        </w:rPr>
        <w:instrText xml:space="preserve">" "" </w:instrText>
      </w:r>
      <w:r w:rsidRPr="00F66A61">
        <w:rPr>
          <w:b w:val="0"/>
          <w:bCs w:val="0"/>
          <w:sz w:val="20"/>
          <w:szCs w:val="20"/>
        </w:rPr>
        <w:fldChar w:fldCharType="separate"/>
      </w:r>
    </w:p>
    <w:p w:rsidR="00605453" w:rsidRPr="00F66A61" w:rsidP="00170FEB">
      <w:pPr>
        <w:pStyle w:val="Heading2"/>
        <w:spacing w:before="140"/>
        <w:ind w:left="0"/>
        <w:rPr>
          <w:b w:val="0"/>
          <w:bCs w:val="0"/>
          <w:sz w:val="20"/>
          <w:szCs w:val="20"/>
        </w:rPr>
      </w:pPr>
      <w:r w:rsidRPr="00F66A61">
        <w:rPr>
          <w:b w:val="0"/>
          <w:bCs w:val="0"/>
          <w:color w:val="4472C4" w:themeColor="accent1"/>
          <w:sz w:val="20"/>
          <w:szCs w:val="20"/>
        </w:rPr>
        <w:t xml:space="preserve">Location: </w:t>
      </w:r>
      <w:r w:rsidRPr="00F66A61">
        <w:rPr>
          <w:b w:val="0"/>
          <w:bCs w:val="0"/>
          <w:sz w:val="20"/>
          <w:szCs w:val="20"/>
        </w:rPr>
        <w:t>John Theurer Cancer Center, 92 2nd St, Hackensack, NJ 07601</w:t>
      </w:r>
      <w:r w:rsidRPr="00F66A61">
        <w:rPr>
          <w:b w:val="0"/>
          <w:bCs w:val="0"/>
          <w:sz w:val="20"/>
          <w:szCs w:val="20"/>
        </w:rPr>
        <w:fldChar w:fldCharType="end"/>
      </w:r>
      <w:r w:rsidRPr="00F66A61" w:rsidR="00B34552">
        <w:rPr>
          <w:b w:val="0"/>
          <w:bCs w:val="0"/>
          <w:sz w:val="20"/>
          <w:szCs w:val="20"/>
        </w:rPr>
        <w:fldChar w:fldCharType="begin"/>
      </w:r>
      <w:r w:rsidRPr="00F66A61" w:rsidR="00B34552">
        <w:rPr>
          <w:b w:val="0"/>
          <w:bCs w:val="0"/>
          <w:sz w:val="20"/>
          <w:szCs w:val="20"/>
        </w:rPr>
        <w:instrText xml:space="preserve"> IF </w:instrText>
      </w:r>
      <w:r w:rsidRPr="00F66A61" w:rsidR="00B34552">
        <w:rPr>
          <w:b w:val="0"/>
          <w:bCs w:val="0"/>
          <w:sz w:val="20"/>
          <w:szCs w:val="20"/>
        </w:rPr>
        <w:instrText>"</w:instrText>
      </w:r>
      <w:r w:rsidRPr="00F66A61" w:rsidR="00B34552">
        <w:rPr>
          <w:b w:val="0"/>
          <w:bCs w:val="0"/>
          <w:sz w:val="20"/>
          <w:szCs w:val="20"/>
        </w:rPr>
        <w:instrText>Oncology, Hematology / Liquid, General</w:instrText>
      </w:r>
      <w:r w:rsidRPr="00F66A61" w:rsidR="00B34552">
        <w:rPr>
          <w:b w:val="0"/>
          <w:bCs w:val="0"/>
          <w:sz w:val="20"/>
          <w:szCs w:val="20"/>
        </w:rPr>
        <w:instrText>"</w:instrText>
      </w:r>
      <w:r w:rsidRPr="00F66A61" w:rsidR="00B34552">
        <w:rPr>
          <w:b w:val="0"/>
          <w:bCs w:val="0"/>
          <w:sz w:val="20"/>
          <w:szCs w:val="20"/>
        </w:rPr>
        <w:instrText xml:space="preserve"> &lt;&gt; "" "</w:instrText>
      </w:r>
    </w:p>
    <w:p w:rsidR="00BB465A" w:rsidRPr="00F66A61" w:rsidP="00170FEB">
      <w:pPr>
        <w:pStyle w:val="Heading2"/>
        <w:spacing w:before="140"/>
        <w:ind w:left="0"/>
        <w:rPr>
          <w:b w:val="0"/>
          <w:bCs w:val="0"/>
          <w:noProof/>
          <w:sz w:val="20"/>
          <w:szCs w:val="20"/>
        </w:rPr>
      </w:pPr>
      <w:r w:rsidRPr="00F66A61">
        <w:rPr>
          <w:b w:val="0"/>
          <w:bCs w:val="0"/>
          <w:color w:val="4472C4" w:themeColor="accent1"/>
          <w:sz w:val="20"/>
          <w:szCs w:val="20"/>
        </w:rPr>
        <w:instrText xml:space="preserve">Target Audience: </w:instrText>
      </w:r>
      <w:r w:rsidRPr="00F66A61">
        <w:rPr>
          <w:b w:val="0"/>
          <w:bCs w:val="0"/>
          <w:sz w:val="20"/>
          <w:szCs w:val="20"/>
        </w:rPr>
        <w:instrText>Oncology, Hematology / Liquid, General</w:instrText>
      </w:r>
      <w:r w:rsidRPr="00F66A61">
        <w:rPr>
          <w:b w:val="0"/>
          <w:bCs w:val="0"/>
          <w:sz w:val="20"/>
          <w:szCs w:val="20"/>
        </w:rPr>
        <w:instrText xml:space="preserve">" "" </w:instrText>
      </w:r>
      <w:r w:rsidRPr="00F66A61">
        <w:rPr>
          <w:b w:val="0"/>
          <w:bCs w:val="0"/>
          <w:sz w:val="20"/>
          <w:szCs w:val="20"/>
        </w:rPr>
        <w:fldChar w:fldCharType="separate"/>
      </w:r>
    </w:p>
    <w:p w:rsidR="00B34552" w:rsidRPr="00F66A61" w:rsidP="00170FEB">
      <w:pPr>
        <w:pStyle w:val="Heading2"/>
        <w:spacing w:before="140"/>
        <w:ind w:left="0"/>
        <w:rPr>
          <w:b w:val="0"/>
          <w:bCs w:val="0"/>
          <w:sz w:val="20"/>
          <w:szCs w:val="20"/>
        </w:rPr>
      </w:pPr>
      <w:r w:rsidRPr="00F66A61">
        <w:rPr>
          <w:b w:val="0"/>
          <w:bCs w:val="0"/>
          <w:color w:val="4472C4" w:themeColor="accent1"/>
          <w:sz w:val="20"/>
          <w:szCs w:val="20"/>
        </w:rPr>
        <w:t xml:space="preserve">Target Audience: </w:t>
      </w:r>
      <w:r w:rsidRPr="00F66A61">
        <w:rPr>
          <w:b w:val="0"/>
          <w:bCs w:val="0"/>
          <w:sz w:val="20"/>
          <w:szCs w:val="20"/>
        </w:rPr>
        <w:t>Oncology, Hematology / Liquid, General</w:t>
      </w:r>
      <w:r w:rsidRPr="00F66A61">
        <w:rPr>
          <w:b w:val="0"/>
          <w:bCs w:val="0"/>
          <w:sz w:val="20"/>
          <w:szCs w:val="20"/>
        </w:rPr>
        <w:fldChar w:fldCharType="end"/>
      </w:r>
      <w:r w:rsidRPr="00F66A61" w:rsidR="00C148BA">
        <w:rPr>
          <w:b w:val="0"/>
          <w:bCs w:val="0"/>
          <w:sz w:val="20"/>
          <w:szCs w:val="20"/>
        </w:rPr>
        <w:fldChar w:fldCharType="begin"/>
      </w:r>
      <w:r w:rsidRPr="00F66A61" w:rsidR="00C148BA">
        <w:rPr>
          <w:b w:val="0"/>
          <w:bCs w:val="0"/>
          <w:sz w:val="20"/>
          <w:szCs w:val="20"/>
        </w:rPr>
        <w:instrText xml:space="preserve"> IF</w:instrText>
      </w:r>
      <w:r w:rsidR="00970772">
        <w:rPr>
          <w:b w:val="0"/>
          <w:bCs w:val="0"/>
          <w:sz w:val="20"/>
          <w:szCs w:val="20"/>
        </w:rPr>
        <w:instrText xml:space="preserve"> "</w:instrText>
      </w:r>
      <w:r>
        <w:rPr>
          <w:rtl w:val="0"/>
        </w:rPr>
        <w:instrText>Join healthcare professionals, researchers and industry leaders for an insightful conference exploring the latest innovations in immune cell therapy and their growing impact on patient care. This comprehensive program will highlight the evolution of CAR-T therapy, advances in immune cell engineering, and emerging applications across oncology and autoimmune diseases.</w:instrText>
      </w:r>
      <w:r w:rsidR="00970772">
        <w:rPr>
          <w:b w:val="0"/>
          <w:bCs w:val="0"/>
          <w:sz w:val="20"/>
          <w:szCs w:val="20"/>
        </w:rPr>
        <w:instrText>"</w:instrText>
      </w:r>
      <w:r w:rsidRPr="00F66A61" w:rsidR="00C148BA">
        <w:rPr>
          <w:b w:val="0"/>
          <w:bCs w:val="0"/>
          <w:sz w:val="20"/>
          <w:szCs w:val="20"/>
        </w:rPr>
        <w:instrText xml:space="preserve"> &lt;&gt; "" "</w:instrText>
      </w:r>
    </w:p>
    <w:p w:rsidR="00C148BA" w:rsidRPr="00F66A61" w:rsidP="00170FEB">
      <w:pPr>
        <w:pStyle w:val="Heading2"/>
        <w:spacing w:before="140"/>
        <w:ind w:left="0"/>
        <w:rPr>
          <w:b w:val="0"/>
          <w:bCs w:val="0"/>
          <w:color w:val="4472C4" w:themeColor="accent1"/>
          <w:sz w:val="20"/>
          <w:szCs w:val="20"/>
        </w:rPr>
      </w:pPr>
      <w:r w:rsidRPr="00F66A61">
        <w:rPr>
          <w:b w:val="0"/>
          <w:bCs w:val="0"/>
          <w:color w:val="4472C4" w:themeColor="accent1"/>
          <w:sz w:val="20"/>
          <w:szCs w:val="20"/>
        </w:rPr>
        <w:instrText>Course Description:</w:instrText>
      </w:r>
    </w:p>
    <w:p w:rsidR="00BB465A" w:rsidRPr="00F66A61" w:rsidP="00170FEB">
      <w:pPr>
        <w:pStyle w:val="Heading2"/>
        <w:spacing w:before="140"/>
        <w:ind w:left="0"/>
        <w:rPr>
          <w:b w:val="0"/>
          <w:bCs w:val="0"/>
          <w:noProof/>
          <w:sz w:val="20"/>
          <w:szCs w:val="20"/>
        </w:rPr>
      </w:pPr>
      <w:r>
        <w:rPr>
          <w:rtl w:val="0"/>
        </w:rPr>
        <w:instrText>Join healthcare professionals, researchers and industry leaders for an insightful conference exploring the latest innovations in immune cell therapy and their growing impact on patient care. This comprehensive program will highlight the evolution of CAR-T therapy, advances in immune cell engineering, and emerging applications across oncology and autoimmune diseases.</w:instrText>
      </w:r>
      <w:r w:rsidRPr="00F66A61">
        <w:rPr>
          <w:b w:val="0"/>
          <w:bCs w:val="0"/>
          <w:sz w:val="20"/>
          <w:szCs w:val="20"/>
        </w:rPr>
        <w:instrText xml:space="preserve">" "" </w:instrText>
      </w:r>
      <w:r w:rsidRPr="00F66A61">
        <w:rPr>
          <w:b w:val="0"/>
          <w:bCs w:val="0"/>
          <w:sz w:val="20"/>
          <w:szCs w:val="20"/>
        </w:rPr>
        <w:fldChar w:fldCharType="separate"/>
      </w:r>
    </w:p>
    <w:p w:rsidR="00C148BA" w:rsidRPr="00F66A61" w:rsidP="00170FEB">
      <w:pPr>
        <w:pStyle w:val="Heading2"/>
        <w:spacing w:before="140"/>
        <w:ind w:left="0"/>
        <w:rPr>
          <w:b w:val="0"/>
          <w:bCs w:val="0"/>
          <w:color w:val="4472C4" w:themeColor="accent1"/>
          <w:sz w:val="20"/>
          <w:szCs w:val="20"/>
        </w:rPr>
      </w:pPr>
      <w:r w:rsidRPr="00F66A61">
        <w:rPr>
          <w:b w:val="0"/>
          <w:bCs w:val="0"/>
          <w:color w:val="4472C4" w:themeColor="accent1"/>
          <w:sz w:val="20"/>
          <w:szCs w:val="20"/>
        </w:rPr>
        <w:t>Course Description:</w:t>
      </w:r>
    </w:p>
    <w:p w:rsidR="00C148BA" w:rsidRPr="00F66A61" w:rsidP="00170FEB">
      <w:pPr>
        <w:pStyle w:val="Heading2"/>
        <w:spacing w:before="140"/>
        <w:ind w:left="0"/>
        <w:rPr>
          <w:b w:val="0"/>
          <w:bCs w:val="0"/>
          <w:sz w:val="20"/>
          <w:szCs w:val="20"/>
        </w:rPr>
      </w:pPr>
      <w:r>
        <w:rPr>
          <w:rtl w:val="0"/>
        </w:rPr>
        <w:t>Join healthcare professionals, researchers and industry leaders for an insightful conference exploring the latest innovations in immune cell therapy and their growing impact on patient care. This comprehensive program will highlight the evolution of CAR-T therapy, advances in immune cell engineering, and emerging applications across oncology and autoimmune diseases.</w:t>
      </w:r>
      <w:r w:rsidRPr="00F66A61">
        <w:rPr>
          <w:b w:val="0"/>
          <w:bCs w:val="0"/>
          <w:sz w:val="20"/>
          <w:szCs w:val="20"/>
        </w:rPr>
        <w:fldChar w:fldCharType="end"/>
      </w:r>
      <w:r w:rsidRPr="00F66A61">
        <w:rPr>
          <w:b w:val="0"/>
          <w:bCs w:val="0"/>
          <w:sz w:val="20"/>
          <w:szCs w:val="20"/>
        </w:rPr>
        <w:fldChar w:fldCharType="begin"/>
      </w:r>
      <w:r w:rsidRPr="00F66A61">
        <w:rPr>
          <w:b w:val="0"/>
          <w:bCs w:val="0"/>
          <w:sz w:val="20"/>
          <w:szCs w:val="20"/>
        </w:rPr>
        <w:instrText xml:space="preserve"> IF </w:instrText>
      </w:r>
      <w:r w:rsidRPr="00F66A61">
        <w:rPr>
          <w:b w:val="0"/>
          <w:bCs w:val="0"/>
          <w:sz w:val="20"/>
          <w:szCs w:val="20"/>
        </w:rPr>
        <w:instrText>"</w:instrText>
      </w:r>
      <w:r w:rsidRPr="00F66A61">
        <w:rPr>
          <w:b w:val="0"/>
          <w:bCs w:val="0"/>
          <w:sz w:val="20"/>
          <w:szCs w:val="20"/>
        </w:rPr>
        <w:instrText xml:space="preserve">1 Assess the evolving landscape and clinical strategies of immune cell therapy across hematologic malignancies, solid tumors, and autoimmune diseases. </w:instrText>
      </w:r>
    </w:p>
    <w:p w:rsidR="00C148BA" w:rsidRPr="00F66A61" w:rsidP="00170FEB">
      <w:pPr>
        <w:pStyle w:val="Heading2"/>
        <w:spacing w:before="140"/>
        <w:ind w:left="0"/>
        <w:rPr>
          <w:b w:val="0"/>
          <w:bCs w:val="0"/>
          <w:sz w:val="20"/>
          <w:szCs w:val="20"/>
        </w:rPr>
      </w:pPr>
      <w:r w:rsidRPr="00F66A61">
        <w:rPr>
          <w:b w:val="0"/>
          <w:bCs w:val="0"/>
          <w:sz w:val="20"/>
          <w:szCs w:val="20"/>
        </w:rPr>
        <w:instrText>2 Identify current and emerging immune cell therapy approaches for the treatment of hematologic malignancies, including recent advances, indications and clinical outcomes.</w:instrText>
      </w:r>
    </w:p>
    <w:p w:rsidR="00C148BA" w:rsidRPr="00F66A61" w:rsidP="00170FEB">
      <w:pPr>
        <w:pStyle w:val="Heading2"/>
        <w:spacing w:before="140"/>
        <w:ind w:left="0"/>
        <w:rPr>
          <w:b w:val="0"/>
          <w:bCs w:val="0"/>
          <w:sz w:val="20"/>
          <w:szCs w:val="20"/>
        </w:rPr>
      </w:pPr>
      <w:r w:rsidRPr="00F66A61">
        <w:rPr>
          <w:b w:val="0"/>
          <w:bCs w:val="0"/>
          <w:sz w:val="20"/>
          <w:szCs w:val="20"/>
        </w:rPr>
        <w:instrText>3 Evaluate the role of immune cell therapies in the management of solid tumors, hematologic malignancies, and autoimmune conditions, with an emphasis on the sequencing of therapies.</w:instrText>
      </w:r>
      <w:r w:rsidRPr="00F66A61">
        <w:rPr>
          <w:b w:val="0"/>
          <w:bCs w:val="0"/>
          <w:sz w:val="20"/>
          <w:szCs w:val="20"/>
        </w:rPr>
        <w:instrText>"</w:instrText>
      </w:r>
      <w:r w:rsidRPr="00F66A61">
        <w:rPr>
          <w:b w:val="0"/>
          <w:bCs w:val="0"/>
          <w:sz w:val="20"/>
          <w:szCs w:val="20"/>
        </w:rPr>
        <w:instrText xml:space="preserve"> &lt;&gt;"" "</w:instrText>
      </w:r>
    </w:p>
    <w:p w:rsidR="00C148BA" w:rsidRPr="00F66A61" w:rsidP="00170FEB">
      <w:pPr>
        <w:pStyle w:val="Heading2"/>
        <w:spacing w:before="140"/>
        <w:ind w:left="0"/>
        <w:rPr>
          <w:b w:val="0"/>
          <w:bCs w:val="0"/>
          <w:color w:val="4472C4" w:themeColor="accent1"/>
          <w:sz w:val="20"/>
          <w:szCs w:val="20"/>
        </w:rPr>
      </w:pPr>
      <w:r w:rsidRPr="00F66A61">
        <w:rPr>
          <w:b w:val="0"/>
          <w:bCs w:val="0"/>
          <w:color w:val="4472C4" w:themeColor="accent1"/>
          <w:sz w:val="20"/>
          <w:szCs w:val="20"/>
        </w:rPr>
        <w:instrText xml:space="preserve">Learning </w:instrText>
      </w:r>
      <w:r w:rsidRPr="00F66A61">
        <w:rPr>
          <w:b w:val="0"/>
          <w:bCs w:val="0"/>
          <w:color w:val="4472C4" w:themeColor="accent1"/>
          <w:sz w:val="20"/>
          <w:szCs w:val="20"/>
        </w:rPr>
        <w:instrText xml:space="preserve">Objectives: </w:instrText>
      </w:r>
    </w:p>
    <w:p w:rsidR="00BB465A" w:rsidRPr="00F66A61" w:rsidP="00170FEB">
      <w:pPr>
        <w:pStyle w:val="Heading2"/>
        <w:spacing w:before="140"/>
        <w:ind w:left="0"/>
        <w:rPr>
          <w:b w:val="0"/>
          <w:bCs w:val="0"/>
          <w:noProof/>
          <w:sz w:val="20"/>
          <w:szCs w:val="20"/>
        </w:rPr>
      </w:pPr>
      <w:r w:rsidRPr="00F66A61">
        <w:rPr>
          <w:b w:val="0"/>
          <w:bCs w:val="0"/>
          <w:sz w:val="20"/>
          <w:szCs w:val="20"/>
        </w:rPr>
        <w:instrText xml:space="preserve">1 Assess the evolving landscape and clinical strategies of immune cell therapy across hematologic malignancies, solid tumors, and autoimmune diseases. </w:instrText>
      </w:r>
    </w:p>
    <w:p w:rsidRPr="00F66A61" w:rsidP="00170FEB">
      <w:pPr>
        <w:pStyle w:val="Heading2"/>
        <w:spacing w:before="140"/>
        <w:ind w:left="0"/>
        <w:rPr>
          <w:b w:val="0"/>
          <w:bCs w:val="0"/>
          <w:sz w:val="20"/>
          <w:szCs w:val="20"/>
        </w:rPr>
      </w:pPr>
      <w:r w:rsidRPr="00F66A61">
        <w:rPr>
          <w:b w:val="0"/>
          <w:bCs w:val="0"/>
          <w:sz w:val="20"/>
          <w:szCs w:val="20"/>
        </w:rPr>
        <w:instrText>2 Identify current and emerging immune cell therapy approaches for the treatment of hematologic malignancies, including recent advances, indications and clinical outcomes.</w:instrText>
      </w:r>
    </w:p>
    <w:p w:rsidRPr="00F66A61" w:rsidP="00170FEB">
      <w:pPr>
        <w:pStyle w:val="Heading2"/>
        <w:spacing w:before="140"/>
        <w:ind w:left="0"/>
        <w:rPr>
          <w:b w:val="0"/>
          <w:bCs w:val="0"/>
          <w:sz w:val="20"/>
          <w:szCs w:val="20"/>
        </w:rPr>
      </w:pPr>
      <w:r w:rsidRPr="00F66A61">
        <w:rPr>
          <w:b w:val="0"/>
          <w:bCs w:val="0"/>
          <w:sz w:val="20"/>
          <w:szCs w:val="20"/>
        </w:rPr>
        <w:instrText>3 Evaluate the role of immune cell therapies in the management of solid tumors, hematologic malignancies, and autoimmune conditions, with an emphasis on the sequencing of therapies.</w:instrText>
      </w:r>
      <w:r w:rsidRPr="00F66A61">
        <w:rPr>
          <w:b w:val="0"/>
          <w:bCs w:val="0"/>
          <w:sz w:val="20"/>
          <w:szCs w:val="20"/>
        </w:rPr>
        <w:instrText xml:space="preserve">" "" </w:instrText>
      </w:r>
      <w:r w:rsidRPr="00F66A61">
        <w:rPr>
          <w:b w:val="0"/>
          <w:bCs w:val="0"/>
          <w:sz w:val="20"/>
          <w:szCs w:val="20"/>
        </w:rPr>
        <w:fldChar w:fldCharType="separate"/>
      </w:r>
    </w:p>
    <w:p w:rsidR="00C148BA" w:rsidRPr="00F66A61" w:rsidP="00170FEB">
      <w:pPr>
        <w:pStyle w:val="Heading2"/>
        <w:spacing w:before="140"/>
        <w:ind w:left="0"/>
        <w:rPr>
          <w:b w:val="0"/>
          <w:bCs w:val="0"/>
          <w:color w:val="4472C4" w:themeColor="accent1"/>
          <w:sz w:val="20"/>
          <w:szCs w:val="20"/>
        </w:rPr>
      </w:pPr>
      <w:r w:rsidRPr="00F66A61">
        <w:rPr>
          <w:b w:val="0"/>
          <w:bCs w:val="0"/>
          <w:color w:val="4472C4" w:themeColor="accent1"/>
          <w:sz w:val="20"/>
          <w:szCs w:val="20"/>
        </w:rPr>
        <w:t xml:space="preserve">Learning </w:t>
      </w:r>
      <w:r w:rsidRPr="00F66A61">
        <w:rPr>
          <w:b w:val="0"/>
          <w:bCs w:val="0"/>
          <w:color w:val="4472C4" w:themeColor="accent1"/>
          <w:sz w:val="20"/>
          <w:szCs w:val="20"/>
        </w:rPr>
        <w:t xml:space="preserve">Objectives: </w:t>
      </w:r>
    </w:p>
    <w:p w:rsidR="00BB465A" w:rsidRPr="00F66A61" w:rsidP="00170FEB">
      <w:pPr>
        <w:pStyle w:val="Heading2"/>
        <w:spacing w:before="140"/>
        <w:ind w:left="0"/>
        <w:rPr>
          <w:b w:val="0"/>
          <w:bCs w:val="0"/>
          <w:noProof/>
          <w:sz w:val="20"/>
          <w:szCs w:val="20"/>
        </w:rPr>
      </w:pPr>
      <w:r w:rsidRPr="00F66A61">
        <w:rPr>
          <w:b w:val="0"/>
          <w:bCs w:val="0"/>
          <w:sz w:val="20"/>
          <w:szCs w:val="20"/>
        </w:rPr>
        <w:t xml:space="preserve">1 Assess the evolving landscape and clinical strategies of immune cell therapy across hematologic malignancies, solid tumors, and autoimmune diseases. </w:t>
      </w:r>
    </w:p>
    <w:p w:rsidRPr="00F66A61" w:rsidP="00170FEB">
      <w:pPr>
        <w:pStyle w:val="Heading2"/>
        <w:spacing w:before="140"/>
        <w:ind w:left="0"/>
        <w:rPr>
          <w:b w:val="0"/>
          <w:bCs w:val="0"/>
          <w:sz w:val="20"/>
          <w:szCs w:val="20"/>
        </w:rPr>
      </w:pPr>
      <w:r w:rsidRPr="00F66A61">
        <w:rPr>
          <w:b w:val="0"/>
          <w:bCs w:val="0"/>
          <w:sz w:val="20"/>
          <w:szCs w:val="20"/>
        </w:rPr>
        <w:t>2 Identify current and emerging immune cell therapy approaches for the treatment of hematologic malignancies, including recent advances, indications and clinical outcomes.</w:t>
      </w:r>
    </w:p>
    <w:p w:rsidR="00C148BA" w:rsidRPr="00F66A61" w:rsidP="00170FEB">
      <w:pPr>
        <w:pStyle w:val="Heading2"/>
        <w:spacing w:before="140"/>
        <w:ind w:left="0"/>
        <w:rPr>
          <w:b w:val="0"/>
          <w:bCs w:val="0"/>
          <w:sz w:val="20"/>
          <w:szCs w:val="20"/>
        </w:rPr>
      </w:pPr>
      <w:r w:rsidRPr="00F66A61">
        <w:rPr>
          <w:b w:val="0"/>
          <w:bCs w:val="0"/>
          <w:sz w:val="20"/>
          <w:szCs w:val="20"/>
        </w:rPr>
        <w:t>3 Evaluate the role of immune cell therapies in the management of solid tumors, hematologic malignancies, and autoimmune conditions, with an emphasis on the sequencing of therapies.</w:t>
      </w:r>
      <w:r w:rsidRPr="00F66A61">
        <w:rPr>
          <w:b w:val="0"/>
          <w:bCs w:val="0"/>
          <w:sz w:val="20"/>
          <w:szCs w:val="20"/>
        </w:rPr>
        <w:fldChar w:fldCharType="end"/>
      </w:r>
    </w:p>
    <w:p w:rsidR="00170FEB" w:rsidRPr="00170FEB" w:rsidP="00170FEB">
      <w:pPr>
        <w:pStyle w:val="Heading2"/>
        <w:spacing w:before="140"/>
        <w:ind w:left="0"/>
        <w:rPr>
          <w:b w:val="0"/>
          <w:bCs w:val="0"/>
          <w:color w:val="4472C4" w:themeColor="accent1"/>
          <w:sz w:val="20"/>
          <w:szCs w:val="20"/>
        </w:rPr>
      </w:pPr>
      <w:r w:rsidRPr="00170FEB">
        <w:rPr>
          <w:b w:val="0"/>
          <w:bCs w:val="0"/>
          <w:color w:val="4472C4" w:themeColor="accent1"/>
          <w:sz w:val="20"/>
          <w:szCs w:val="20"/>
        </w:rPr>
        <w:t>F</w:t>
      </w:r>
      <w:r w:rsidRPr="00F66A61">
        <w:rPr>
          <w:b w:val="0"/>
          <w:bCs w:val="0"/>
          <w:color w:val="4472C4" w:themeColor="accent1"/>
          <w:sz w:val="20"/>
          <w:szCs w:val="20"/>
        </w:rPr>
        <w:t>ees:</w:t>
      </w:r>
    </w:p>
    <w:p w:rsidR="00C148BA" w:rsidRPr="00F66A61" w:rsidP="00170FEB">
      <w:pPr>
        <w:pStyle w:val="Heading2"/>
        <w:spacing w:before="140"/>
        <w:ind w:left="0"/>
        <w:rPr>
          <w:b w:val="0"/>
          <w:bCs w:val="0"/>
          <w:sz w:val="20"/>
          <w:szCs w:val="20"/>
        </w:rPr>
      </w:pPr>
      <w:r w:rsidRPr="00170FEB">
        <w:rPr>
          <w:b w:val="0"/>
          <w:bCs w:val="0"/>
          <w:sz w:val="20"/>
          <w:szCs w:val="20"/>
        </w:rPr>
        <w:t xml:space="preserve">Registration fee is </w:t>
      </w:r>
      <w:r w:rsidRPr="00F66A61">
        <w:rPr>
          <w:b w:val="0"/>
          <w:bCs w:val="0"/>
          <w:sz w:val="20"/>
          <w:szCs w:val="20"/>
        </w:rPr>
        <w:t>&lt;&lt;enter amount&gt;&gt;</w:t>
      </w:r>
      <w:r w:rsidRPr="00170FEB">
        <w:rPr>
          <w:b w:val="0"/>
          <w:bCs w:val="0"/>
          <w:sz w:val="20"/>
          <w:szCs w:val="20"/>
        </w:rPr>
        <w:t xml:space="preserve"> for </w:t>
      </w:r>
      <w:r w:rsidRPr="00F66A61">
        <w:rPr>
          <w:b w:val="0"/>
          <w:bCs w:val="0"/>
          <w:sz w:val="20"/>
          <w:szCs w:val="20"/>
        </w:rPr>
        <w:t xml:space="preserve">&lt;&lt;enter specialties&gt;&gt; </w:t>
      </w:r>
      <w:r w:rsidRPr="00170FEB">
        <w:rPr>
          <w:b w:val="0"/>
          <w:bCs w:val="0"/>
          <w:sz w:val="20"/>
          <w:szCs w:val="20"/>
        </w:rPr>
        <w:t xml:space="preserve">Allied Health Professionals, </w:t>
      </w:r>
      <w:r w:rsidRPr="00F66A61">
        <w:rPr>
          <w:b w:val="0"/>
          <w:bCs w:val="0"/>
          <w:sz w:val="20"/>
          <w:szCs w:val="20"/>
        </w:rPr>
        <w:t>Fellows,</w:t>
      </w:r>
      <w:r w:rsidRPr="00170FEB">
        <w:rPr>
          <w:b w:val="0"/>
          <w:bCs w:val="0"/>
          <w:sz w:val="20"/>
          <w:szCs w:val="20"/>
        </w:rPr>
        <w:t xml:space="preserve"> and Students.</w:t>
      </w:r>
    </w:p>
    <w:p w:rsidR="00170FEB" w:rsidRPr="00F66A61" w:rsidP="00170FEB">
      <w:pPr>
        <w:pStyle w:val="Heading2"/>
        <w:spacing w:before="140"/>
        <w:ind w:left="0"/>
        <w:rPr>
          <w:b w:val="0"/>
          <w:bCs w:val="0"/>
          <w:color w:val="4472C4" w:themeColor="accent1"/>
          <w:sz w:val="20"/>
          <w:szCs w:val="20"/>
        </w:rPr>
      </w:pPr>
      <w:r w:rsidRPr="00F66A61">
        <w:rPr>
          <w:b w:val="0"/>
          <w:bCs w:val="0"/>
          <w:color w:val="4472C4" w:themeColor="accent1"/>
          <w:sz w:val="20"/>
          <w:szCs w:val="20"/>
        </w:rPr>
        <w:t>Register Today:</w:t>
      </w:r>
    </w:p>
    <w:p w:rsidR="00170FEB" w:rsidRPr="00F66A61" w:rsidP="00170FEB">
      <w:pPr>
        <w:pStyle w:val="Heading2"/>
        <w:spacing w:before="140"/>
        <w:ind w:left="0"/>
        <w:rPr>
          <w:b w:val="0"/>
          <w:bCs w:val="0"/>
          <w:sz w:val="20"/>
          <w:szCs w:val="20"/>
        </w:rPr>
      </w:pPr>
      <w:r w:rsidRPr="00F66A61">
        <w:rPr>
          <w:b w:val="0"/>
          <w:bCs w:val="0"/>
          <w:sz w:val="20"/>
          <w:szCs w:val="20"/>
        </w:rPr>
        <w:t xml:space="preserve">&lt;&lt;Enter QR </w:t>
      </w:r>
      <w:r w:rsidRPr="00F66A61" w:rsidR="00AF3692">
        <w:rPr>
          <w:b w:val="0"/>
          <w:bCs w:val="0"/>
          <w:sz w:val="20"/>
          <w:szCs w:val="20"/>
        </w:rPr>
        <w:t>c</w:t>
      </w:r>
      <w:r w:rsidRPr="00F66A61">
        <w:rPr>
          <w:b w:val="0"/>
          <w:bCs w:val="0"/>
          <w:sz w:val="20"/>
          <w:szCs w:val="20"/>
        </w:rPr>
        <w:t>ode here&gt;&gt;</w:t>
      </w:r>
    </w:p>
    <w:p w:rsidR="00AF3692" w:rsidP="00A90AAD">
      <w:pPr>
        <w:pStyle w:val="Heading2"/>
        <w:spacing w:before="140"/>
        <w:ind w:left="0"/>
        <w:rPr>
          <w:b w:val="0"/>
          <w:bCs w:val="0"/>
          <w:sz w:val="20"/>
          <w:szCs w:val="20"/>
        </w:rPr>
      </w:pPr>
      <w:r w:rsidRPr="00F66A61">
        <w:rPr>
          <w:b w:val="0"/>
          <w:bCs w:val="0"/>
          <w:sz w:val="20"/>
          <w:szCs w:val="20"/>
        </w:rPr>
        <w:t>Scan the QR code or visit</w:t>
      </w:r>
      <w:r w:rsidRPr="00F66A61">
        <w:rPr>
          <w:b w:val="0"/>
          <w:bCs w:val="0"/>
          <w:sz w:val="20"/>
          <w:szCs w:val="20"/>
        </w:rPr>
        <w:t xml:space="preserve"> &lt;&lt;enter Event Link here&gt;&gt;</w:t>
      </w:r>
    </w:p>
    <w:p w:rsidR="00A90AAD" w:rsidRPr="00A90AAD" w:rsidP="00A90AAD">
      <w:pPr>
        <w:pStyle w:val="Heading2"/>
        <w:spacing w:before="140"/>
        <w:ind w:left="0"/>
        <w:rPr>
          <w:b w:val="0"/>
          <w:bCs w:val="0"/>
          <w:sz w:val="20"/>
          <w:szCs w:val="20"/>
        </w:rPr>
      </w:pPr>
    </w:p>
    <w:p w:rsidR="00F66A61" w:rsidP="00F66A61">
      <w:pPr>
        <w:spacing w:after="120"/>
        <w:rPr>
          <w:rFonts w:ascii="Arial" w:hAnsi="Arial" w:cs="Arial"/>
          <w:b/>
          <w:bCs/>
          <w:color w:val="4472C4" w:themeColor="accent1"/>
          <w:sz w:val="20"/>
          <w:szCs w:val="20"/>
        </w:rPr>
      </w:pPr>
      <w:r w:rsidRPr="00F66A61">
        <w:rPr>
          <w:rFonts w:ascii="Arial" w:hAnsi="Arial" w:cs="Arial"/>
          <w:b/>
          <w:bCs/>
          <w:color w:val="4472C4" w:themeColor="accent1"/>
          <w:sz w:val="20"/>
          <w:szCs w:val="20"/>
        </w:rPr>
        <w:t>Accreditation Statement</w:t>
      </w:r>
      <w:r>
        <w:rPr>
          <w:rFonts w:ascii="Arial" w:hAnsi="Arial" w:cs="Arial"/>
          <w:b/>
          <w:bCs/>
          <w:color w:val="4472C4" w:themeColor="accent1"/>
          <w:sz w:val="20"/>
          <w:szCs w:val="20"/>
        </w:rPr>
        <w:t>:</w:t>
      </w:r>
    </w:p>
    <w:p w:rsidR="00F66A61" w:rsidRPr="00F66A61" w:rsidP="00F66A61">
      <w:pPr>
        <w:spacing w:after="120"/>
        <w:rPr>
          <w:rFonts w:ascii="Arial" w:hAnsi="Arial" w:cs="Arial"/>
          <w:sz w:val="20"/>
          <w:szCs w:val="20"/>
          <w:u w:val="single"/>
        </w:rPr>
      </w:pPr>
      <w:r w:rsidRPr="00F66A61">
        <w:rPr>
          <w:rFonts w:ascii="Arial" w:hAnsi="Arial" w:cs="Arial"/>
          <w:b/>
          <w:bCs/>
          <w:color w:val="4472C4" w:themeColor="accent1"/>
          <w:sz w:val="20"/>
          <w:szCs w:val="20"/>
        </w:rPr>
        <w:t xml:space="preserve"> </w:t>
      </w:r>
      <w:r w:rsidRPr="00F66A61">
        <w:rPr>
          <w:rFonts w:ascii="Arial" w:hAnsi="Arial" w:cs="Arial"/>
          <w:sz w:val="20"/>
          <w:szCs w:val="20"/>
        </w:rPr>
        <w:t xml:space="preserve">Hackensack Meridian </w:t>
      </w:r>
      <w:r w:rsidRPr="00F66A61">
        <w:rPr>
          <w:rFonts w:ascii="Arial" w:hAnsi="Arial" w:cs="Arial"/>
          <w:i/>
          <w:sz w:val="20"/>
          <w:szCs w:val="20"/>
        </w:rPr>
        <w:t xml:space="preserve">Health </w:t>
      </w:r>
      <w:r w:rsidRPr="00F66A61">
        <w:rPr>
          <w:rFonts w:ascii="Arial" w:hAnsi="Arial" w:cs="Arial"/>
          <w:sz w:val="20"/>
          <w:szCs w:val="20"/>
        </w:rPr>
        <w:t>Network is accredited by the Medical Society of New Jersey to provide continuing medical education for physicians.</w:t>
      </w:r>
      <w:r w:rsidRPr="00F66A61">
        <w:rPr>
          <w:rFonts w:ascii="Arial" w:hAnsi="Arial" w:cs="Arial"/>
          <w:sz w:val="20"/>
          <w:szCs w:val="20"/>
        </w:rPr>
        <w:fldChar w:fldCharType="begin"/>
      </w:r>
      <w:r w:rsidRPr="00F66A61">
        <w:rPr>
          <w:rFonts w:ascii="Arial" w:hAnsi="Arial" w:cs="Arial"/>
          <w:sz w:val="20"/>
          <w:szCs w:val="20"/>
        </w:rPr>
        <w:instrText xml:space="preserve"> IF </w:instrText>
      </w:r>
      <w:r w:rsidRPr="00F66A61">
        <w:rPr>
          <w:rFonts w:ascii="Arial" w:hAnsi="Arial" w:cs="Arial"/>
          <w:sz w:val="20"/>
          <w:szCs w:val="20"/>
        </w:rPr>
        <w:instrText>4.25</w:instrText>
      </w:r>
      <w:r w:rsidRPr="00F66A61">
        <w:rPr>
          <w:rFonts w:ascii="Arial" w:hAnsi="Arial" w:cs="Arial"/>
          <w:sz w:val="20"/>
          <w:szCs w:val="20"/>
        </w:rPr>
        <w:instrText xml:space="preserve"> &gt; 0 "</w:instrText>
      </w:r>
    </w:p>
    <w:p w:rsidR="00F66A61" w:rsidP="00F66A61">
      <w:pPr>
        <w:spacing w:after="120"/>
        <w:rPr>
          <w:rFonts w:ascii="Arial" w:hAnsi="Arial" w:cs="Arial"/>
          <w:b/>
          <w:bCs/>
          <w:color w:val="4472C4" w:themeColor="accent1"/>
          <w:sz w:val="20"/>
          <w:szCs w:val="20"/>
        </w:rPr>
      </w:pPr>
      <w:r w:rsidRPr="00F66A61">
        <w:rPr>
          <w:rFonts w:ascii="Arial" w:hAnsi="Arial" w:cs="Arial"/>
          <w:b/>
          <w:bCs/>
          <w:color w:val="4472C4" w:themeColor="accent1"/>
          <w:sz w:val="20"/>
          <w:szCs w:val="20"/>
        </w:rPr>
        <w:instrText>AMA Credit Designation Statement</w:instrText>
      </w:r>
      <w:r>
        <w:rPr>
          <w:rFonts w:ascii="Arial" w:hAnsi="Arial" w:cs="Arial"/>
          <w:b/>
          <w:bCs/>
          <w:color w:val="4472C4" w:themeColor="accent1"/>
          <w:sz w:val="20"/>
          <w:szCs w:val="20"/>
        </w:rPr>
        <w:instrText>:</w:instrText>
      </w:r>
    </w:p>
    <w:p w:rsidR="00F66A61" w:rsidRPr="00F66A61" w:rsidP="00F66A61">
      <w:pPr>
        <w:spacing w:after="120"/>
        <w:rPr>
          <w:rFonts w:ascii="Arial" w:hAnsi="Arial" w:cs="Arial"/>
          <w:sz w:val="20"/>
          <w:szCs w:val="20"/>
        </w:rPr>
      </w:pPr>
      <w:r w:rsidRPr="00F66A61">
        <w:rPr>
          <w:rFonts w:ascii="Arial" w:hAnsi="Arial" w:cs="Arial"/>
          <w:sz w:val="20"/>
          <w:szCs w:val="20"/>
        </w:rPr>
        <w:instrText xml:space="preserve"> Hackensack Meridian </w:instrText>
      </w:r>
      <w:r w:rsidRPr="00F66A61">
        <w:rPr>
          <w:rFonts w:ascii="Arial" w:hAnsi="Arial" w:cs="Arial"/>
          <w:i/>
          <w:sz w:val="20"/>
          <w:szCs w:val="20"/>
        </w:rPr>
        <w:instrText xml:space="preserve">Health </w:instrText>
      </w:r>
      <w:r w:rsidRPr="00F66A61">
        <w:rPr>
          <w:rFonts w:ascii="Arial" w:hAnsi="Arial" w:cs="Arial"/>
          <w:sz w:val="20"/>
          <w:szCs w:val="20"/>
        </w:rPr>
        <w:instrText xml:space="preserve">Network designates this </w:instrText>
      </w:r>
      <w:r w:rsidRPr="00F66A61">
        <w:rPr>
          <w:rFonts w:ascii="Arial" w:hAnsi="Arial" w:cs="Arial"/>
          <w:sz w:val="20"/>
          <w:szCs w:val="20"/>
        </w:rPr>
        <w:instrText>Live Activity</w:instrText>
      </w:r>
      <w:r w:rsidRPr="00F66A61">
        <w:rPr>
          <w:rFonts w:ascii="Arial" w:hAnsi="Arial" w:cs="Arial"/>
          <w:sz w:val="20"/>
          <w:szCs w:val="20"/>
        </w:rPr>
        <w:instrText xml:space="preserve"> for a maximum of </w:instrText>
      </w:r>
      <w:r w:rsidRPr="00F66A61">
        <w:rPr>
          <w:rFonts w:ascii="Arial" w:hAnsi="Arial" w:cs="Arial"/>
          <w:sz w:val="20"/>
          <w:szCs w:val="20"/>
        </w:rPr>
        <w:instrText>4.25</w:instrText>
      </w:r>
      <w:r w:rsidRPr="00F66A61">
        <w:rPr>
          <w:rFonts w:ascii="Arial" w:hAnsi="Arial" w:cs="Arial"/>
          <w:sz w:val="20"/>
          <w:szCs w:val="20"/>
        </w:rPr>
        <w:instrText xml:space="preserve"> </w:instrText>
      </w:r>
      <w:r w:rsidRPr="00F66A61">
        <w:rPr>
          <w:rFonts w:ascii="Arial" w:hAnsi="Arial" w:cs="Arial"/>
          <w:i/>
          <w:iCs/>
          <w:sz w:val="20"/>
          <w:szCs w:val="20"/>
        </w:rPr>
        <w:instrText>AMA PRA Category 1 Credits</w:instrText>
      </w:r>
      <w:r w:rsidRPr="00F66A61">
        <w:rPr>
          <w:rFonts w:ascii="Arial" w:hAnsi="Arial" w:cs="Arial"/>
          <w:i/>
          <w:iCs/>
          <w:sz w:val="20"/>
          <w:szCs w:val="20"/>
          <w:vertAlign w:val="superscript"/>
        </w:rPr>
        <w:instrText>TM</w:instrText>
      </w:r>
      <w:r w:rsidRPr="00F66A61">
        <w:rPr>
          <w:rFonts w:ascii="Arial" w:hAnsi="Arial" w:cs="Arial"/>
          <w:i/>
          <w:iCs/>
          <w:sz w:val="20"/>
          <w:szCs w:val="20"/>
        </w:rPr>
        <w:instrText>.</w:instrText>
      </w:r>
      <w:r w:rsidRPr="00F66A61">
        <w:rPr>
          <w:rFonts w:ascii="Arial" w:hAnsi="Arial" w:cs="Arial"/>
          <w:sz w:val="20"/>
          <w:szCs w:val="20"/>
        </w:rPr>
        <w:instrText xml:space="preserve"> Physicians should claim only the credit commensurate with the extent of their participation in the activity." "" </w:instrText>
      </w:r>
      <w:r w:rsidRPr="00F66A61">
        <w:rPr>
          <w:rFonts w:ascii="Arial" w:hAnsi="Arial" w:cs="Arial"/>
          <w:sz w:val="20"/>
          <w:szCs w:val="20"/>
        </w:rPr>
        <w:fldChar w:fldCharType="separate"/>
      </w:r>
    </w:p>
    <w:p w:rsidR="00F66A61" w:rsidP="00F66A61">
      <w:pPr>
        <w:spacing w:after="120"/>
        <w:rPr>
          <w:rFonts w:ascii="Arial" w:hAnsi="Arial" w:cs="Arial"/>
          <w:b/>
          <w:bCs/>
          <w:color w:val="4472C4" w:themeColor="accent1"/>
          <w:sz w:val="20"/>
          <w:szCs w:val="20"/>
        </w:rPr>
      </w:pPr>
      <w:r w:rsidRPr="00F66A61">
        <w:rPr>
          <w:rFonts w:ascii="Arial" w:hAnsi="Arial" w:cs="Arial"/>
          <w:b/>
          <w:bCs/>
          <w:color w:val="4472C4" w:themeColor="accent1"/>
          <w:sz w:val="20"/>
          <w:szCs w:val="20"/>
        </w:rPr>
        <w:t>AMA Credit Designation Statement</w:t>
      </w:r>
      <w:r>
        <w:rPr>
          <w:rFonts w:ascii="Arial" w:hAnsi="Arial" w:cs="Arial"/>
          <w:b/>
          <w:bCs/>
          <w:color w:val="4472C4" w:themeColor="accent1"/>
          <w:sz w:val="20"/>
          <w:szCs w:val="20"/>
        </w:rPr>
        <w:t>:</w:t>
      </w:r>
    </w:p>
    <w:p w:rsidRPr="00F66A61" w:rsidP="00F66A61">
      <w:pPr>
        <w:spacing w:after="120"/>
        <w:rPr>
          <w:rFonts w:ascii="Arial" w:hAnsi="Arial" w:cs="Arial"/>
          <w:sz w:val="20"/>
          <w:szCs w:val="20"/>
        </w:rPr>
      </w:pPr>
      <w:r w:rsidRPr="00F66A61">
        <w:rPr>
          <w:rFonts w:ascii="Arial" w:hAnsi="Arial" w:cs="Arial"/>
          <w:sz w:val="20"/>
          <w:szCs w:val="20"/>
        </w:rPr>
        <w:t xml:space="preserve"> Hackensack Meridian </w:t>
      </w:r>
      <w:r w:rsidRPr="00F66A61">
        <w:rPr>
          <w:rFonts w:ascii="Arial" w:hAnsi="Arial" w:cs="Arial"/>
          <w:i/>
          <w:sz w:val="20"/>
          <w:szCs w:val="20"/>
        </w:rPr>
        <w:t xml:space="preserve">Health </w:t>
      </w:r>
      <w:r w:rsidRPr="00F66A61">
        <w:rPr>
          <w:rFonts w:ascii="Arial" w:hAnsi="Arial" w:cs="Arial"/>
          <w:sz w:val="20"/>
          <w:szCs w:val="20"/>
        </w:rPr>
        <w:t xml:space="preserve">Network designates this </w:t>
      </w:r>
      <w:r w:rsidRPr="00F66A61">
        <w:rPr>
          <w:rFonts w:ascii="Arial" w:hAnsi="Arial" w:cs="Arial"/>
          <w:sz w:val="20"/>
          <w:szCs w:val="20"/>
        </w:rPr>
        <w:t>Live Activity</w:t>
      </w:r>
      <w:r w:rsidRPr="00F66A61">
        <w:rPr>
          <w:rFonts w:ascii="Arial" w:hAnsi="Arial" w:cs="Arial"/>
          <w:sz w:val="20"/>
          <w:szCs w:val="20"/>
        </w:rPr>
        <w:t xml:space="preserve"> for a maximum of </w:t>
      </w:r>
      <w:r w:rsidRPr="00F66A61">
        <w:rPr>
          <w:rFonts w:ascii="Arial" w:hAnsi="Arial" w:cs="Arial"/>
          <w:sz w:val="20"/>
          <w:szCs w:val="20"/>
        </w:rPr>
        <w:t>4.25</w:t>
      </w:r>
      <w:r w:rsidRPr="00F66A61">
        <w:rPr>
          <w:rFonts w:ascii="Arial" w:hAnsi="Arial" w:cs="Arial"/>
          <w:sz w:val="20"/>
          <w:szCs w:val="20"/>
        </w:rPr>
        <w:t xml:space="preserve"> </w:t>
      </w:r>
      <w:r w:rsidRPr="00F66A61">
        <w:rPr>
          <w:rFonts w:ascii="Arial" w:hAnsi="Arial" w:cs="Arial"/>
          <w:i/>
          <w:iCs/>
          <w:sz w:val="20"/>
          <w:szCs w:val="20"/>
        </w:rPr>
        <w:t>AMA PRA Category 1 Credits</w:t>
      </w:r>
      <w:r w:rsidRPr="00F66A61">
        <w:rPr>
          <w:rFonts w:ascii="Arial" w:hAnsi="Arial" w:cs="Arial"/>
          <w:i/>
          <w:iCs/>
          <w:sz w:val="20"/>
          <w:szCs w:val="20"/>
          <w:vertAlign w:val="superscript"/>
        </w:rPr>
        <w:t>TM</w:t>
      </w:r>
      <w:r w:rsidRPr="00F66A61">
        <w:rPr>
          <w:rFonts w:ascii="Arial" w:hAnsi="Arial" w:cs="Arial"/>
          <w:i/>
          <w:iCs/>
          <w:sz w:val="20"/>
          <w:szCs w:val="20"/>
        </w:rPr>
        <w:t>.</w:t>
      </w:r>
      <w:r w:rsidRPr="00F66A61">
        <w:rPr>
          <w:rFonts w:ascii="Arial" w:hAnsi="Arial" w:cs="Arial"/>
          <w:sz w:val="20"/>
          <w:szCs w:val="20"/>
        </w:rPr>
        <w:t xml:space="preserve"> Physicians should claim only the credit commensurate with the extent of their participation in the activity.</w:t>
      </w:r>
      <w:r w:rsidRPr="00F66A61">
        <w:rPr>
          <w:rFonts w:ascii="Arial" w:hAnsi="Arial" w:cs="Arial"/>
          <w:sz w:val="20"/>
          <w:szCs w:val="20"/>
        </w:rPr>
        <w:fldChar w:fldCharType="end"/>
      </w:r>
      <w:r w:rsidRPr="00F66A61">
        <w:rPr>
          <w:rFonts w:ascii="Arial" w:hAnsi="Arial" w:cs="Arial"/>
          <w:sz w:val="20"/>
          <w:szCs w:val="20"/>
        </w:rPr>
        <w:fldChar w:fldCharType="begin"/>
      </w:r>
      <w:r w:rsidRPr="00F66A61">
        <w:rPr>
          <w:rFonts w:ascii="Arial" w:hAnsi="Arial" w:cs="Arial"/>
          <w:sz w:val="20"/>
          <w:szCs w:val="20"/>
        </w:rPr>
        <w:instrText xml:space="preserve"> IF </w:instrText>
      </w:r>
      <w:r w:rsidRPr="00F66A61">
        <w:rPr>
          <w:rFonts w:ascii="Arial" w:hAnsi="Arial" w:cs="Arial"/>
          <w:sz w:val="20"/>
          <w:szCs w:val="20"/>
        </w:rPr>
        <w:instrText xml:space="preserve"> &gt; 0 "</w:instrText>
      </w:r>
    </w:p>
    <w:p w:rsidR="00F66A61" w:rsidRPr="00F66A61" w:rsidP="00F66A61">
      <w:pPr>
        <w:spacing w:after="120"/>
        <w:rPr>
          <w:rFonts w:ascii="Arial" w:hAnsi="Arial" w:cs="Arial"/>
          <w:b/>
          <w:bCs/>
          <w:color w:val="4472C4" w:themeColor="accent1"/>
          <w:sz w:val="20"/>
          <w:szCs w:val="20"/>
        </w:rPr>
      </w:pPr>
      <w:r w:rsidRPr="00F66A61">
        <w:rPr>
          <w:rFonts w:ascii="Arial" w:hAnsi="Arial" w:cs="Arial"/>
          <w:b/>
          <w:bCs/>
          <w:color w:val="4472C4" w:themeColor="accent1"/>
          <w:sz w:val="20"/>
          <w:szCs w:val="20"/>
        </w:rPr>
        <w:instrText>Nurs</w:instrText>
      </w:r>
      <w:r>
        <w:rPr>
          <w:rFonts w:ascii="Arial" w:hAnsi="Arial" w:cs="Arial"/>
          <w:b/>
          <w:bCs/>
          <w:color w:val="4472C4" w:themeColor="accent1"/>
          <w:sz w:val="20"/>
          <w:szCs w:val="20"/>
        </w:rPr>
        <w:instrText>ing</w:instrText>
      </w:r>
      <w:r w:rsidRPr="00F66A61">
        <w:rPr>
          <w:rFonts w:ascii="Arial" w:hAnsi="Arial" w:cs="Arial"/>
          <w:b/>
          <w:bCs/>
          <w:color w:val="4472C4" w:themeColor="accent1"/>
          <w:sz w:val="20"/>
          <w:szCs w:val="20"/>
        </w:rPr>
        <w:instrText xml:space="preserve"> Accreditation Statement</w:instrText>
      </w:r>
      <w:r>
        <w:rPr>
          <w:rFonts w:ascii="Arial" w:hAnsi="Arial" w:cs="Arial"/>
          <w:b/>
          <w:bCs/>
          <w:color w:val="4472C4" w:themeColor="accent1"/>
          <w:sz w:val="20"/>
          <w:szCs w:val="20"/>
        </w:rPr>
        <w:instrText>:</w:instrText>
      </w:r>
    </w:p>
    <w:p w:rsidR="00AF3692" w:rsidRPr="00F66A61" w:rsidP="00AF3692">
      <w:pPr>
        <w:spacing w:after="120"/>
        <w:rPr>
          <w:rFonts w:ascii="Arial" w:hAnsi="Arial" w:cs="Arial"/>
          <w:sz w:val="20"/>
          <w:szCs w:val="20"/>
        </w:rPr>
      </w:pPr>
      <w:r w:rsidRPr="00F66A61">
        <w:rPr>
          <w:rFonts w:ascii="Arial" w:hAnsi="Arial" w:cs="Arial"/>
          <w:sz w:val="20"/>
          <w:szCs w:val="20"/>
        </w:rPr>
        <w:instrText xml:space="preserve">NJ Board of Nursing (NJAC 13:37-5.3) states: \“\A registered professional nurse or licensed practical nurse may obtain continuing education hours from the following: (d)3. Successful completion of continuing medical education courses recognized by the American Medical Association, the American Osteopathic Association or the American Podiatric Medical Association: one hour for each 60 minutes of attendance\”\ therefore, CME credits obtained today may be used in place of nursing contact hours." "" </w:instrText>
      </w:r>
      <w:r w:rsidRPr="00F66A61">
        <w:rPr>
          <w:rFonts w:ascii="Arial" w:hAnsi="Arial" w:cs="Arial"/>
          <w:sz w:val="20"/>
          <w:szCs w:val="20"/>
        </w:rPr>
        <w:fldChar w:fldCharType="separate"/>
      </w:r>
      <w:r w:rsidRPr="00F66A61">
        <w:rPr>
          <w:rFonts w:ascii="Arial" w:hAnsi="Arial" w:cs="Arial"/>
          <w:sz w:val="20"/>
          <w:szCs w:val="20"/>
        </w:rPr>
        <w:fldChar w:fldCharType="end"/>
      </w:r>
    </w:p>
    <w:p w:rsidR="00AF3692" w:rsidRPr="00F66A61" w:rsidP="00AF3692">
      <w:pPr>
        <w:spacing w:after="120"/>
        <w:rPr>
          <w:rFonts w:ascii="Arial" w:hAnsi="Arial" w:cs="Arial"/>
          <w:b/>
          <w:bCs/>
          <w:color w:val="4472C4" w:themeColor="accent1"/>
          <w:sz w:val="20"/>
          <w:szCs w:val="20"/>
        </w:rPr>
      </w:pPr>
      <w:r w:rsidRPr="00F66A61">
        <w:rPr>
          <w:rFonts w:ascii="Arial" w:hAnsi="Arial" w:cs="Arial"/>
          <w:b/>
          <w:bCs/>
          <w:color w:val="4472C4" w:themeColor="accent1"/>
          <w:sz w:val="20"/>
          <w:szCs w:val="20"/>
        </w:rPr>
        <w:t>Disclosure:</w:t>
      </w:r>
    </w:p>
    <w:p w:rsidR="00AF3692" w:rsidRPr="00F66A61" w:rsidP="00AF3692">
      <w:pPr>
        <w:rPr>
          <w:rFonts w:ascii="Arial" w:hAnsi="Arial" w:cs="Arial"/>
          <w:sz w:val="20"/>
          <w:szCs w:val="20"/>
        </w:rPr>
      </w:pPr>
      <w:r w:rsidRPr="00F66A61">
        <w:rPr>
          <w:rFonts w:ascii="Arial" w:hAnsi="Arial" w:cs="Arial"/>
          <w:sz w:val="20"/>
          <w:szCs w:val="20"/>
        </w:rPr>
        <w:t>The following faculties/planners indicated no relevant financial relationships with any ineligible companies and does not plan on discussing commercial products or services.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835"/>
        <w:gridCol w:w="2835"/>
        <w:gridCol w:w="3780"/>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Andres Chang,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support-AbbVie (Any division)|Grant or research support-BeOne Medicines|Advisor-Bristol-Myers Squibb Company|Advisor-AstraZeneca (Any division)|Consulting Fee-BeOne Medicines (Relationship has ended)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May Daher,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Beneficiary-Takeda Pharmaceuticals (Any division)|Membership on Advisory Committees or Review Panels, Board Membership, etc.-Bruker Cellular Analysis|Membership on Advisory Committees or Review Panels, Board Membership, etc.-Cellsbin|Membership on Advisory Committees or Review Panels, Board Membership, etc.-Aurigene - 09/29/2026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Andres Gomez-De Leon,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 H. Goy,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support-Acerta|Grant or research support-AstraZeneca (Any division)|Grant or research support-Celgene Corporation|Grant or research support-Genentech (Any division)|Grant or research support-Kite Pharma|Stocks or stock options, excluding diversified mutual funds-COTA (Relationship has ended)|Stocks or stock options, excluding diversified mutual funds-Verana|Stocks or stock options, excluding diversified mutual funds-Alloplex|Stocks or stock options, excluding diversified mutual funds-Resilience|Stocks or stock options, excluding diversified mutual funds-Genomic Testing Cooperative|Consulting Fee-Michael J. Hennessey|Honoraria-Physicians Education Resource, LLC|Membership on Advisory Committees or Review Panels, Board Membership, etc.-COTA|Membership on Advisory Committees or Review Panels, Board Membership, etc.-Verana Health|Membership on Advisory Committees or Review Panels, Board Membership, etc.-Resilience|Membership on Advisory Committees or Review Panels, Board Membership, etc.-Genomic Testing Cooperative|Membership on Advisory Committees or Review Panels, Board Membership, etc.-Vincerx|Membership on Advisory Committees or Review Panels, Board Membership, etc.-AstraZeneca (Any division) - 03/06/2026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Dimitrios Mougiakakos,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Fee-Johnson &amp; Johnson (Relationship has ended)|Advisor-Kyverna Therapeutics|Advisor-TQ Therapeutics|Advisor-Bristol-Myers Squibb Company|Consulting Fee-Gilead Sciences, Inc. (Relationship has ended)|Speakers Bureau-Roche (Any division) (Relationship has ended)|Speakers Bureau-AbbVie (Any division) (Relationship has ended)|Speakers Bureau-AstraZeneca (Any division) (Relationship has ended)|Advisor-AvenCell (Relationship has ended)|Consulting Fee-BeOne (Relationship has ended)|Consulting Fee-Incyte Corporation Incyte Corporation (Relationship has ended)|Advisor-Interius Bio Therapeutics (Relationship has ended)|Speakers Bureau-Miltenyi Biotec (Relationship has ended) - 08/27/2026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Pulsipher,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etc.-Gamida Cell (Relationship has ended)|Membership on Advisory Committees or Review Panels, Board Membership, etc.-Medexus (Relationship has ended)|Membership on Advisory Committees or Review Panels, Board Membership, etc.-Pharming (Relationship has ended)|Other: Educational Presentation-Miltenyi Biotec (Relationship has ended)|Membership on Advisory Committees or Review Panels, Board Membership, etc.-Autolus (Relationship has ended)|Membership on Advisory Committees or Review Panels, Board Membership, etc.-Stratus (Relationship has ended)|Other: Lecture to their reps-Sanofi S.A. (Relationship has ended)|Membership on Advisory Committees or Review Panels, Board Membership, etc.-Mesoblast (Relationship has ended)|Grant or research support-Miltenyi Biotec|Grant or research support-Adaptive Biotechnologies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Siddhartha Reddy,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etc.-Autolus - 09/24/2026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Urvi A Shah, MD, DipABLM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support-Janssen (Any division)|Grant or research support-BMS (Relationship has ended)|Consulting Fee-Janssen (Any division) (Relationship has ended)|Grant or research support-Sabinsa|Grant or research support-M and M labs - 09/19/2026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Welsh,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bl>
    <w:p w:rsidR="00AF3692" w:rsidRPr="00F66A61">
      <w:pPr>
        <w:rPr>
          <w:rFonts w:ascii="Arial" w:hAnsi="Arial" w:cs="Arial"/>
          <w:sz w:val="20"/>
          <w:szCs w:val="20"/>
        </w:rPr>
      </w:pPr>
    </w:p>
    <w:p w:rsidR="00AF3692" w:rsidRPr="00F66A61" w:rsidP="00AF3692">
      <w:pPr>
        <w:rPr>
          <w:rFonts w:ascii="Arial" w:hAnsi="Arial" w:cs="Arial"/>
          <w:sz w:val="20"/>
          <w:szCs w:val="20"/>
        </w:rPr>
      </w:pPr>
      <w:r w:rsidRPr="00F66A61">
        <w:rPr>
          <w:rFonts w:ascii="Arial" w:hAnsi="Arial" w:cs="Arial"/>
          <w:sz w:val="20"/>
          <w:szCs w:val="20"/>
        </w:rPr>
        <w:t>All other planners involved with this educational activity have no relevant financial relationships with any ineligible companies.</w:t>
      </w:r>
    </w:p>
    <w:p w:rsidR="00FE048C" w:rsidRPr="00F66A61" w:rsidP="00673108">
      <w:pPr>
        <w:autoSpaceDE w:val="0"/>
        <w:autoSpaceDN w:val="0"/>
        <w:adjustRightInd w:val="0"/>
        <w:spacing w:after="0" w:line="240" w:lineRule="auto"/>
        <w:rPr>
          <w:rFonts w:ascii="Arial" w:hAnsi="Arial" w:cs="Arial"/>
          <w:b/>
          <w:bCs/>
          <w:color w:val="4472C4" w:themeColor="accent1"/>
          <w:kern w:val="0"/>
          <w:sz w:val="20"/>
          <w:szCs w:val="20"/>
        </w:rPr>
      </w:pPr>
      <w:r w:rsidRPr="00F66A61">
        <w:rPr>
          <w:rFonts w:ascii="Arial" w:hAnsi="Arial" w:cs="Arial"/>
          <w:b/>
          <w:bCs/>
          <w:color w:val="4472C4" w:themeColor="accent1"/>
          <w:kern w:val="0"/>
          <w:sz w:val="20"/>
          <w:szCs w:val="20"/>
        </w:rPr>
        <w:t xml:space="preserve">Agenda: </w:t>
      </w:r>
    </w:p>
    <w:p w:rsidR="00F66A61" w:rsidRPr="00F66A61" w:rsidP="00673108">
      <w:pPr>
        <w:autoSpaceDE w:val="0"/>
        <w:autoSpaceDN w:val="0"/>
        <w:adjustRightInd w:val="0"/>
        <w:spacing w:after="0" w:line="240" w:lineRule="auto"/>
        <w:rPr>
          <w:rFonts w:ascii="Arial" w:hAnsi="Arial" w:cs="Arial"/>
          <w:color w:val="000000" w:themeColor="text1"/>
          <w:kern w:val="0"/>
          <w:sz w:val="20"/>
          <w:szCs w:val="20"/>
        </w:rPr>
      </w:pPr>
      <w:r>
        <w:rPr>
          <w:rFonts w:ascii="Arial" w:hAnsi="Arial" w:cs="Arial"/>
          <w:color w:val="000000" w:themeColor="text1"/>
          <w:kern w:val="0"/>
          <w:sz w:val="20"/>
          <w:szCs w:val="20"/>
        </w:rPr>
        <w:t>&lt;&lt;Enter Agenda here&gt;&gt;</w:t>
      </w:r>
    </w:p>
    <w:sectPr w:rsidSect="00FC06F2">
      <w:pgSz w:w="12240" w:h="15840"/>
      <w:pgMar w:top="360" w:right="1260" w:bottom="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9E604D"/>
    <w:multiLevelType w:val="hybridMultilevel"/>
    <w:tmpl w:val="1876C2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2">
    <w:name w:val="heading 2"/>
    <w:basedOn w:val="Normal"/>
    <w:link w:val="Heading2Char"/>
    <w:uiPriority w:val="9"/>
    <w:unhideWhenUsed/>
    <w:qFormat/>
    <w:rsid w:val="00C148BA"/>
    <w:pPr>
      <w:widowControl w:val="0"/>
      <w:autoSpaceDE w:val="0"/>
      <w:autoSpaceDN w:val="0"/>
      <w:spacing w:before="170" w:after="0" w:line="240" w:lineRule="auto"/>
      <w:ind w:left="62"/>
      <w:outlineLvl w:val="1"/>
    </w:pPr>
    <w:rPr>
      <w:rFonts w:ascii="Arial" w:eastAsia="Arial" w:hAnsi="Arial" w:cs="Arial"/>
      <w:b/>
      <w:bCs/>
      <w:kern w:val="0"/>
      <w:sz w:val="26"/>
      <w:szCs w:val="26"/>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48C"/>
    <w:pPr>
      <w:ind w:left="720"/>
      <w:contextualSpacing/>
    </w:pPr>
  </w:style>
  <w:style w:type="character" w:customStyle="1" w:styleId="Heading2Char">
    <w:name w:val="Heading 2 Char"/>
    <w:basedOn w:val="DefaultParagraphFont"/>
    <w:link w:val="Heading2"/>
    <w:uiPriority w:val="9"/>
    <w:rsid w:val="00C148BA"/>
    <w:rPr>
      <w:rFonts w:ascii="Arial" w:eastAsia="Arial" w:hAnsi="Arial" w:cs="Arial"/>
      <w:b/>
      <w:bCs/>
      <w:kern w:val="0"/>
      <w:sz w:val="26"/>
      <w:szCs w:val="26"/>
      <w14:ligatures w14:val="none"/>
    </w:rPr>
  </w:style>
  <w:style w:type="paragraph" w:styleId="BodyText">
    <w:name w:val="Body Text"/>
    <w:basedOn w:val="Normal"/>
    <w:link w:val="BodyTextChar"/>
    <w:uiPriority w:val="1"/>
    <w:qFormat/>
    <w:rsid w:val="00170FEB"/>
    <w:pPr>
      <w:widowControl w:val="0"/>
      <w:autoSpaceDE w:val="0"/>
      <w:autoSpaceDN w:val="0"/>
      <w:spacing w:before="55" w:after="0" w:line="240" w:lineRule="auto"/>
    </w:pPr>
    <w:rPr>
      <w:rFonts w:ascii="Arial" w:eastAsia="Arial" w:hAnsi="Arial" w:cs="Arial"/>
      <w:i/>
      <w:iCs/>
      <w:kern w:val="0"/>
      <w:sz w:val="20"/>
      <w:szCs w:val="20"/>
      <w14:ligatures w14:val="none"/>
    </w:rPr>
  </w:style>
  <w:style w:type="character" w:customStyle="1" w:styleId="BodyTextChar">
    <w:name w:val="Body Text Char"/>
    <w:basedOn w:val="DefaultParagraphFont"/>
    <w:link w:val="BodyText"/>
    <w:uiPriority w:val="1"/>
    <w:rsid w:val="00170FEB"/>
    <w:rPr>
      <w:rFonts w:ascii="Arial" w:eastAsia="Arial" w:hAnsi="Arial" w:cs="Arial"/>
      <w:i/>
      <w:iCs/>
      <w:kern w:val="0"/>
      <w:sz w:val="20"/>
      <w:szCs w:val="20"/>
      <w14:ligatures w14:val="none"/>
    </w:rPr>
  </w:style>
  <w:style w:type="table" w:styleId="TableGrid">
    <w:name w:val="Table Grid"/>
    <w:basedOn w:val="TableNormal"/>
    <w:uiPriority w:val="39"/>
    <w:rsid w:val="00AF369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East Carolina University</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Carnes, Megan</dc:creator>
  <cp:lastModifiedBy>Tejaswini Patil</cp:lastModifiedBy>
  <cp:revision>21</cp:revision>
  <cp:lastPrinted>2024-09-25T15:32:00Z</cp:lastPrinted>
  <dcterms:created xsi:type="dcterms:W3CDTF">2025-11-06T19:55:00Z</dcterms:created>
  <dcterms:modified xsi:type="dcterms:W3CDTF">2026-01-12T21:59:00Z</dcterms:modified>
</cp:coreProperties>
</file>